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051" w14:textId="07444D13" w:rsidR="00AB19ED" w:rsidRPr="00AB19ED" w:rsidRDefault="00AB19ED" w:rsidP="00AB19ED">
      <w:pPr>
        <w:spacing w:line="312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AB19ED">
        <w:rPr>
          <w:rFonts w:ascii="Arial" w:eastAsia="Times New Roman" w:hAnsi="Arial" w:cs="Arial"/>
          <w:kern w:val="36"/>
          <w:sz w:val="36"/>
          <w:szCs w:val="36"/>
        </w:rPr>
        <w:t xml:space="preserve">Programme </w:t>
      </w:r>
      <w:r w:rsidR="003D4E50">
        <w:rPr>
          <w:rFonts w:ascii="Arial" w:eastAsia="Times New Roman" w:hAnsi="Arial" w:cs="Arial"/>
          <w:kern w:val="36"/>
          <w:sz w:val="36"/>
          <w:szCs w:val="36"/>
        </w:rPr>
        <w:t>E</w:t>
      </w:r>
      <w:r w:rsidRPr="00AB19ED">
        <w:rPr>
          <w:rFonts w:ascii="Arial" w:eastAsia="Times New Roman" w:hAnsi="Arial" w:cs="Arial"/>
          <w:kern w:val="36"/>
          <w:sz w:val="36"/>
          <w:szCs w:val="36"/>
        </w:rPr>
        <w:t>ligibility</w:t>
      </w:r>
    </w:p>
    <w:p w14:paraId="187962FB" w14:textId="77777777" w:rsidR="00AB19ED" w:rsidRPr="00353A15" w:rsidRDefault="00AB19ED" w:rsidP="00AB19ED">
      <w:pPr>
        <w:spacing w:after="240" w:line="312" w:lineRule="atLeast"/>
        <w:rPr>
          <w:rFonts w:ascii="Arial" w:eastAsia="Times New Roman" w:hAnsi="Arial" w:cs="Arial"/>
          <w:sz w:val="31"/>
          <w:szCs w:val="31"/>
        </w:rPr>
      </w:pPr>
    </w:p>
    <w:p w14:paraId="0AA96CEE" w14:textId="66AA1ED6" w:rsidR="00353A15" w:rsidRPr="003D4E50" w:rsidRDefault="00AB19ED" w:rsidP="00AB19ED">
      <w:pPr>
        <w:spacing w:after="240" w:line="312" w:lineRule="atLeast"/>
        <w:rPr>
          <w:rFonts w:ascii="Arial" w:eastAsia="Times New Roman" w:hAnsi="Arial" w:cs="Arial"/>
          <w:sz w:val="28"/>
          <w:szCs w:val="28"/>
        </w:rPr>
      </w:pPr>
      <w:r w:rsidRPr="00AB19ED">
        <w:rPr>
          <w:rFonts w:ascii="Arial" w:eastAsia="Times New Roman" w:hAnsi="Arial" w:cs="Arial"/>
          <w:sz w:val="28"/>
          <w:szCs w:val="28"/>
        </w:rPr>
        <w:t xml:space="preserve">Before you apply, </w:t>
      </w:r>
      <w:r w:rsidR="00353A15" w:rsidRPr="003D4E50">
        <w:rPr>
          <w:rFonts w:ascii="Arial" w:eastAsia="Times New Roman" w:hAnsi="Arial" w:cs="Arial"/>
          <w:sz w:val="28"/>
          <w:szCs w:val="28"/>
        </w:rPr>
        <w:t xml:space="preserve">please </w:t>
      </w:r>
      <w:r w:rsidRPr="00AB19ED">
        <w:rPr>
          <w:rFonts w:ascii="Arial" w:eastAsia="Times New Roman" w:hAnsi="Arial" w:cs="Arial"/>
          <w:sz w:val="28"/>
          <w:szCs w:val="28"/>
        </w:rPr>
        <w:t xml:space="preserve">make sure </w:t>
      </w:r>
      <w:r w:rsidR="00353A15" w:rsidRPr="003D4E50">
        <w:rPr>
          <w:rFonts w:ascii="Arial" w:eastAsia="Times New Roman" w:hAnsi="Arial" w:cs="Arial"/>
          <w:sz w:val="28"/>
          <w:szCs w:val="28"/>
        </w:rPr>
        <w:t xml:space="preserve">that </w:t>
      </w:r>
      <w:r w:rsidRPr="00AB19ED">
        <w:rPr>
          <w:rFonts w:ascii="Arial" w:eastAsia="Times New Roman" w:hAnsi="Arial" w:cs="Arial"/>
          <w:sz w:val="28"/>
          <w:szCs w:val="28"/>
        </w:rPr>
        <w:t xml:space="preserve">you’re eligible for the </w:t>
      </w:r>
      <w:r w:rsidRPr="003D4E50">
        <w:rPr>
          <w:rFonts w:ascii="Arial" w:eastAsia="Times New Roman" w:hAnsi="Arial" w:cs="Arial"/>
          <w:sz w:val="28"/>
          <w:szCs w:val="28"/>
        </w:rPr>
        <w:t>Biotech Innovators</w:t>
      </w:r>
      <w:r w:rsidRPr="00AB19ED">
        <w:rPr>
          <w:rFonts w:ascii="Arial" w:eastAsia="Times New Roman" w:hAnsi="Arial" w:cs="Arial"/>
          <w:sz w:val="28"/>
          <w:szCs w:val="28"/>
        </w:rPr>
        <w:t xml:space="preserve"> </w:t>
      </w:r>
      <w:r w:rsidR="00A84256">
        <w:rPr>
          <w:rFonts w:ascii="Arial" w:eastAsia="Times New Roman" w:hAnsi="Arial" w:cs="Arial"/>
          <w:sz w:val="28"/>
          <w:szCs w:val="28"/>
        </w:rPr>
        <w:t>accelerator programme</w:t>
      </w:r>
      <w:r w:rsidR="003D4E50">
        <w:rPr>
          <w:rFonts w:ascii="Arial" w:eastAsia="Times New Roman" w:hAnsi="Arial" w:cs="Arial"/>
          <w:sz w:val="28"/>
          <w:szCs w:val="28"/>
        </w:rPr>
        <w:t>.</w:t>
      </w:r>
    </w:p>
    <w:p w14:paraId="5A673CB3" w14:textId="276DD4E1" w:rsidR="00AB19ED" w:rsidRPr="00AB19ED" w:rsidRDefault="00AB19ED" w:rsidP="00AB19ED">
      <w:pPr>
        <w:spacing w:after="240" w:line="312" w:lineRule="atLeast"/>
        <w:rPr>
          <w:rFonts w:ascii="Arial" w:eastAsia="Times New Roman" w:hAnsi="Arial" w:cs="Arial"/>
          <w:sz w:val="28"/>
          <w:szCs w:val="28"/>
        </w:rPr>
      </w:pPr>
      <w:r w:rsidRPr="00AB19ED">
        <w:rPr>
          <w:rFonts w:ascii="Arial" w:eastAsia="Times New Roman" w:hAnsi="Arial" w:cs="Arial"/>
          <w:sz w:val="28"/>
          <w:szCs w:val="28"/>
        </w:rPr>
        <w:t xml:space="preserve">The entry </w:t>
      </w:r>
      <w:r w:rsidR="00353A15" w:rsidRPr="003D4E50">
        <w:rPr>
          <w:rFonts w:ascii="Arial" w:eastAsia="Times New Roman" w:hAnsi="Arial" w:cs="Arial"/>
          <w:sz w:val="28"/>
          <w:szCs w:val="28"/>
        </w:rPr>
        <w:t>guidelines</w:t>
      </w:r>
      <w:r w:rsidRPr="00AB19ED">
        <w:rPr>
          <w:rFonts w:ascii="Arial" w:eastAsia="Times New Roman" w:hAnsi="Arial" w:cs="Arial"/>
          <w:sz w:val="28"/>
          <w:szCs w:val="28"/>
        </w:rPr>
        <w:t xml:space="preserve"> are: </w:t>
      </w:r>
    </w:p>
    <w:p w14:paraId="1C1D6A1A" w14:textId="24185C9B" w:rsidR="00AB19ED" w:rsidRPr="003D4E50" w:rsidRDefault="00787790" w:rsidP="00AB19ED">
      <w:pPr>
        <w:numPr>
          <w:ilvl w:val="0"/>
          <w:numId w:val="1"/>
        </w:numPr>
        <w:ind w:left="1050" w:hanging="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Entrants </w:t>
      </w:r>
      <w:r w:rsidR="00AB19ED" w:rsidRPr="003D4E50">
        <w:rPr>
          <w:rFonts w:ascii="Arial" w:eastAsia="Times New Roman" w:hAnsi="Arial" w:cs="Arial"/>
        </w:rPr>
        <w:t>should be between 12-months pre-incorporation and 24-months post-incorporation.</w:t>
      </w:r>
    </w:p>
    <w:p w14:paraId="459080BC" w14:textId="3C49EE3A" w:rsidR="00AB19ED" w:rsidRPr="00AB19ED" w:rsidRDefault="00787790" w:rsidP="00AB19ED">
      <w:pPr>
        <w:numPr>
          <w:ilvl w:val="0"/>
          <w:numId w:val="1"/>
        </w:numPr>
        <w:ind w:left="1050" w:hanging="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AB19ED" w:rsidRPr="00AB19ED">
        <w:rPr>
          <w:rFonts w:ascii="Arial" w:eastAsia="Times New Roman" w:hAnsi="Arial" w:cs="Arial"/>
        </w:rPr>
        <w:t xml:space="preserve">echnology solutions </w:t>
      </w:r>
      <w:r w:rsidR="00AB19ED" w:rsidRPr="003D4E50">
        <w:rPr>
          <w:rFonts w:ascii="Arial" w:eastAsia="Times New Roman" w:hAnsi="Arial" w:cs="Arial"/>
        </w:rPr>
        <w:t xml:space="preserve">should </w:t>
      </w:r>
      <w:r w:rsidR="00AB19ED" w:rsidRPr="00AB19ED">
        <w:rPr>
          <w:rFonts w:ascii="Arial" w:eastAsia="Times New Roman" w:hAnsi="Arial" w:cs="Arial"/>
        </w:rPr>
        <w:t xml:space="preserve">be at a technology readiness level (TRL) of 2 to 6 inclusive in order to be eligible for the Accelerator. We will accept applications from </w:t>
      </w:r>
      <w:r>
        <w:rPr>
          <w:rFonts w:ascii="Arial" w:eastAsia="Times New Roman" w:hAnsi="Arial" w:cs="Arial"/>
        </w:rPr>
        <w:t xml:space="preserve">entrants </w:t>
      </w:r>
      <w:r w:rsidR="00AB19ED" w:rsidRPr="00AB19ED">
        <w:rPr>
          <w:rFonts w:ascii="Arial" w:eastAsia="Times New Roman" w:hAnsi="Arial" w:cs="Arial"/>
        </w:rPr>
        <w:t>that have developed other technologies at higher TRLs as long as the innovation they are applying with is TRL 2 to TRL 6.</w:t>
      </w:r>
    </w:p>
    <w:p w14:paraId="53A780BD" w14:textId="18D4F170" w:rsidR="00AB19ED" w:rsidRPr="003D4E50" w:rsidRDefault="00787790" w:rsidP="00AB19ED">
      <w:pPr>
        <w:numPr>
          <w:ilvl w:val="0"/>
          <w:numId w:val="1"/>
        </w:numPr>
        <w:spacing w:after="75"/>
        <w:ind w:left="1050" w:hanging="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Entrants </w:t>
      </w:r>
      <w:r w:rsidR="00AB19ED" w:rsidRPr="00AB19ED">
        <w:rPr>
          <w:rFonts w:ascii="Arial" w:eastAsia="Times New Roman" w:hAnsi="Arial" w:cs="Arial"/>
        </w:rPr>
        <w:t>can be based</w:t>
      </w:r>
      <w:r w:rsidR="00AB19ED" w:rsidRPr="003D4E50">
        <w:rPr>
          <w:rFonts w:ascii="Arial" w:eastAsia="Times New Roman" w:hAnsi="Arial" w:cs="Arial"/>
        </w:rPr>
        <w:t xml:space="preserve"> anywhere in Scotland or be committed to establishing a presence in Scotland during the Biotech Innovators programme</w:t>
      </w:r>
      <w:r w:rsidR="00AB19ED" w:rsidRPr="00AB19ED">
        <w:rPr>
          <w:rFonts w:ascii="Arial" w:eastAsia="Times New Roman" w:hAnsi="Arial" w:cs="Arial"/>
        </w:rPr>
        <w:t>.</w:t>
      </w:r>
    </w:p>
    <w:p w14:paraId="320FEB37" w14:textId="12E9909B" w:rsidR="00AB19ED" w:rsidRPr="00AB19ED" w:rsidRDefault="00787790" w:rsidP="00AB19ED">
      <w:pPr>
        <w:numPr>
          <w:ilvl w:val="0"/>
          <w:numId w:val="1"/>
        </w:numPr>
        <w:spacing w:after="75"/>
        <w:ind w:left="1050" w:hanging="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Entrants </w:t>
      </w:r>
      <w:r w:rsidR="00AB19ED" w:rsidRPr="00AB19ED">
        <w:rPr>
          <w:rFonts w:ascii="Arial" w:eastAsia="Times New Roman" w:hAnsi="Arial" w:cs="Arial"/>
        </w:rPr>
        <w:t xml:space="preserve">located outside </w:t>
      </w:r>
      <w:r w:rsidR="00AB19ED" w:rsidRPr="003D4E50">
        <w:rPr>
          <w:rFonts w:ascii="Arial" w:eastAsia="Times New Roman" w:hAnsi="Arial" w:cs="Arial"/>
        </w:rPr>
        <w:t>Scotland</w:t>
      </w:r>
      <w:r w:rsidR="00AB19ED" w:rsidRPr="00AB19ED">
        <w:rPr>
          <w:rFonts w:ascii="Arial" w:eastAsia="Times New Roman" w:hAnsi="Arial" w:cs="Arial"/>
        </w:rPr>
        <w:t xml:space="preserve"> must be able to communicate clearly how they plan to benefit the Scot</w:t>
      </w:r>
      <w:r w:rsidR="00AB19ED" w:rsidRPr="003D4E50">
        <w:rPr>
          <w:rFonts w:ascii="Arial" w:eastAsia="Times New Roman" w:hAnsi="Arial" w:cs="Arial"/>
        </w:rPr>
        <w:t>tish economy.</w:t>
      </w:r>
    </w:p>
    <w:p w14:paraId="1EA0A3B0" w14:textId="69F7BEB0" w:rsidR="00AB19ED" w:rsidRPr="003D4E50" w:rsidRDefault="00787790" w:rsidP="00AB19ED">
      <w:pPr>
        <w:numPr>
          <w:ilvl w:val="0"/>
          <w:numId w:val="1"/>
        </w:numPr>
        <w:spacing w:after="75"/>
        <w:ind w:left="1050" w:hanging="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Entrants</w:t>
      </w:r>
      <w:r w:rsidR="00AB19ED" w:rsidRPr="00AB19ED">
        <w:rPr>
          <w:rFonts w:ascii="Arial" w:eastAsia="Times New Roman" w:hAnsi="Arial" w:cs="Arial"/>
        </w:rPr>
        <w:t xml:space="preserve"> </w:t>
      </w:r>
      <w:r w:rsidR="00AB19ED" w:rsidRPr="003D4E50">
        <w:rPr>
          <w:rFonts w:ascii="Arial" w:eastAsia="Times New Roman" w:hAnsi="Arial" w:cs="Arial"/>
        </w:rPr>
        <w:t xml:space="preserve">must be </w:t>
      </w:r>
      <w:r w:rsidR="00AB19ED" w:rsidRPr="00AB19ED">
        <w:rPr>
          <w:rFonts w:ascii="Arial" w:eastAsia="Times New Roman" w:hAnsi="Arial" w:cs="Arial"/>
        </w:rPr>
        <w:t>developing</w:t>
      </w:r>
      <w:r w:rsidR="00AB19ED" w:rsidRPr="003D4E50">
        <w:rPr>
          <w:rFonts w:ascii="Arial" w:eastAsia="Times New Roman" w:hAnsi="Arial" w:cs="Arial"/>
        </w:rPr>
        <w:t xml:space="preserve"> biotechnolo</w:t>
      </w:r>
      <w:r w:rsidR="00353A15" w:rsidRPr="003D4E50">
        <w:rPr>
          <w:rFonts w:ascii="Arial" w:eastAsia="Times New Roman" w:hAnsi="Arial" w:cs="Arial"/>
        </w:rPr>
        <w:t>gy solutions that</w:t>
      </w:r>
      <w:r w:rsidR="00AB19ED" w:rsidRPr="00AB19ED">
        <w:rPr>
          <w:rFonts w:ascii="Arial" w:eastAsia="Times New Roman" w:hAnsi="Arial" w:cs="Arial"/>
        </w:rPr>
        <w:t xml:space="preserve"> fit one or more of our technology focus areas, set out below.</w:t>
      </w:r>
    </w:p>
    <w:p w14:paraId="2C36FBB7" w14:textId="4DDD4ABB" w:rsidR="00353A15" w:rsidRPr="00AB19ED" w:rsidRDefault="00353A15" w:rsidP="00353A15">
      <w:pPr>
        <w:numPr>
          <w:ilvl w:val="0"/>
          <w:numId w:val="1"/>
        </w:numPr>
        <w:ind w:left="1050" w:hanging="336"/>
        <w:rPr>
          <w:rFonts w:ascii="Arial" w:eastAsia="Times New Roman" w:hAnsi="Arial" w:cs="Arial"/>
        </w:rPr>
      </w:pPr>
      <w:r w:rsidRPr="00AB19ED">
        <w:rPr>
          <w:rFonts w:ascii="Arial" w:eastAsia="Times New Roman" w:hAnsi="Arial" w:cs="Arial"/>
        </w:rPr>
        <w:t xml:space="preserve">All </w:t>
      </w:r>
      <w:r w:rsidR="00787790">
        <w:rPr>
          <w:rFonts w:ascii="Arial" w:eastAsia="Times New Roman" w:hAnsi="Arial" w:cs="Arial"/>
        </w:rPr>
        <w:t xml:space="preserve">entries </w:t>
      </w:r>
      <w:r w:rsidRPr="003D4E50">
        <w:rPr>
          <w:rFonts w:ascii="Arial" w:eastAsia="Times New Roman" w:hAnsi="Arial" w:cs="Arial"/>
        </w:rPr>
        <w:t xml:space="preserve">should be aligned to the </w:t>
      </w:r>
      <w:hyperlink r:id="rId5" w:history="1">
        <w:r w:rsidRPr="003D4E50">
          <w:rPr>
            <w:rStyle w:val="Hyperlink"/>
            <w:rFonts w:ascii="Arial" w:eastAsia="Times New Roman" w:hAnsi="Arial" w:cs="Arial"/>
          </w:rPr>
          <w:t>Scottish National Plan for Industrial Biotechnology</w:t>
        </w:r>
      </w:hyperlink>
      <w:r w:rsidRPr="003D4E50">
        <w:rPr>
          <w:rFonts w:ascii="Arial" w:eastAsia="Times New Roman" w:hAnsi="Arial" w:cs="Arial"/>
        </w:rPr>
        <w:t>.</w:t>
      </w:r>
    </w:p>
    <w:p w14:paraId="07FC0626" w14:textId="35FFE416" w:rsidR="00AB19ED" w:rsidRPr="003D4E50" w:rsidRDefault="00AB19ED" w:rsidP="00AB19ED">
      <w:pPr>
        <w:numPr>
          <w:ilvl w:val="0"/>
          <w:numId w:val="1"/>
        </w:numPr>
        <w:ind w:left="1050" w:hanging="336"/>
        <w:rPr>
          <w:rFonts w:ascii="Arial" w:eastAsia="Times New Roman" w:hAnsi="Arial" w:cs="Arial"/>
        </w:rPr>
      </w:pPr>
      <w:r w:rsidRPr="00AB19ED">
        <w:rPr>
          <w:rFonts w:ascii="Arial" w:eastAsia="Times New Roman" w:hAnsi="Arial" w:cs="Arial"/>
        </w:rPr>
        <w:t xml:space="preserve">All </w:t>
      </w:r>
      <w:r w:rsidR="00787790">
        <w:rPr>
          <w:rFonts w:ascii="Arial" w:eastAsia="Times New Roman" w:hAnsi="Arial" w:cs="Arial"/>
        </w:rPr>
        <w:t>teams</w:t>
      </w:r>
      <w:r w:rsidRPr="00AB19ED">
        <w:rPr>
          <w:rFonts w:ascii="Arial" w:eastAsia="Times New Roman" w:hAnsi="Arial" w:cs="Arial"/>
        </w:rPr>
        <w:t xml:space="preserve"> must be inclusive and diverse or open to building diverse teams.</w:t>
      </w:r>
    </w:p>
    <w:p w14:paraId="489A3C9E" w14:textId="601448BF" w:rsidR="00AB19ED" w:rsidRPr="00353A15" w:rsidRDefault="00AB19ED" w:rsidP="00AB19ED">
      <w:pPr>
        <w:ind w:left="1050"/>
        <w:rPr>
          <w:rFonts w:ascii="Arial" w:eastAsia="Times New Roman" w:hAnsi="Arial" w:cs="Arial"/>
          <w:sz w:val="26"/>
          <w:szCs w:val="26"/>
        </w:rPr>
      </w:pPr>
    </w:p>
    <w:p w14:paraId="0537AEF1" w14:textId="77777777" w:rsidR="00AB19ED" w:rsidRPr="00AB19ED" w:rsidRDefault="00AB19ED" w:rsidP="00AB19ED">
      <w:pPr>
        <w:ind w:left="1050"/>
        <w:rPr>
          <w:rFonts w:ascii="Arial" w:eastAsia="Times New Roman" w:hAnsi="Arial" w:cs="Arial"/>
          <w:sz w:val="26"/>
          <w:szCs w:val="26"/>
        </w:rPr>
      </w:pPr>
    </w:p>
    <w:p w14:paraId="6A84868A" w14:textId="77777777" w:rsidR="00AB19ED" w:rsidRPr="00AB19ED" w:rsidRDefault="00AB19ED" w:rsidP="00AB19ED">
      <w:pPr>
        <w:spacing w:after="240" w:line="312" w:lineRule="atLeast"/>
        <w:rPr>
          <w:rFonts w:ascii="Arial" w:eastAsia="Times New Roman" w:hAnsi="Arial" w:cs="Arial"/>
          <w:sz w:val="28"/>
          <w:szCs w:val="28"/>
        </w:rPr>
      </w:pPr>
      <w:r w:rsidRPr="00AB19ED">
        <w:rPr>
          <w:rFonts w:ascii="Arial" w:eastAsia="Times New Roman" w:hAnsi="Arial" w:cs="Arial"/>
          <w:sz w:val="28"/>
          <w:szCs w:val="28"/>
        </w:rPr>
        <w:t>Technology focus areas:</w:t>
      </w:r>
    </w:p>
    <w:p w14:paraId="01D8EBF2" w14:textId="0F43A7AF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Biorefining</w:t>
      </w:r>
    </w:p>
    <w:p w14:paraId="31849235" w14:textId="359CAE4A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Biomanufacturing</w:t>
      </w:r>
    </w:p>
    <w:p w14:paraId="79E05D05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Food and drink</w:t>
      </w:r>
    </w:p>
    <w:p w14:paraId="2F5D708F" w14:textId="094AB370" w:rsidR="00AB19ED" w:rsidRPr="003D4E50" w:rsidRDefault="00353A15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AB19ED" w:rsidRPr="003D4E50">
        <w:rPr>
          <w:rFonts w:ascii="Arial" w:eastAsia="Times New Roman" w:hAnsi="Arial" w:cs="Arial"/>
          <w:sz w:val="24"/>
          <w:szCs w:val="24"/>
          <w:lang w:eastAsia="en-GB"/>
        </w:rPr>
        <w:t>extiles and materials</w:t>
      </w:r>
    </w:p>
    <w:p w14:paraId="46CEADBB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Waste management</w:t>
      </w:r>
    </w:p>
    <w:p w14:paraId="01EBB7E1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Enzymes and catalysts</w:t>
      </w:r>
    </w:p>
    <w:p w14:paraId="4AF9D727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Downstream processing</w:t>
      </w:r>
    </w:p>
    <w:p w14:paraId="6DBFD7A6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D4E50">
        <w:rPr>
          <w:rFonts w:ascii="Arial" w:eastAsia="Times New Roman" w:hAnsi="Arial" w:cs="Arial"/>
          <w:sz w:val="24"/>
          <w:szCs w:val="24"/>
          <w:lang w:eastAsia="en-GB"/>
        </w:rPr>
        <w:t>Agritech</w:t>
      </w:r>
      <w:proofErr w:type="spellEnd"/>
    </w:p>
    <w:p w14:paraId="73C0DC09" w14:textId="77777777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Marine biotechnology</w:t>
      </w:r>
    </w:p>
    <w:p w14:paraId="48C6324A" w14:textId="6312D746" w:rsidR="00AB19ED" w:rsidRPr="003D4E50" w:rsidRDefault="00AB19ED" w:rsidP="00AB19ED">
      <w:pPr>
        <w:pStyle w:val="ListParagraph"/>
        <w:numPr>
          <w:ilvl w:val="0"/>
          <w:numId w:val="6"/>
        </w:numPr>
        <w:spacing w:after="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D4E50">
        <w:rPr>
          <w:rFonts w:ascii="Arial" w:eastAsia="Times New Roman" w:hAnsi="Arial" w:cs="Arial"/>
          <w:sz w:val="24"/>
          <w:szCs w:val="24"/>
          <w:lang w:eastAsia="en-GB"/>
        </w:rPr>
        <w:t>Biopharmaceuticals</w:t>
      </w:r>
    </w:p>
    <w:p w14:paraId="64D974F7" w14:textId="5AAB468B" w:rsidR="003D4E50" w:rsidRDefault="003D4E50" w:rsidP="003D4E50">
      <w:pPr>
        <w:spacing w:after="8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7BE294B" w14:textId="55432A8A" w:rsidR="003D4E50" w:rsidRDefault="003D4E50" w:rsidP="003D4E50">
      <w:pPr>
        <w:spacing w:after="8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9A1D77B" w14:textId="30D47821" w:rsidR="003D4E50" w:rsidRDefault="003D4E50" w:rsidP="003D4E50">
      <w:pPr>
        <w:spacing w:after="8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3D4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91D"/>
    <w:multiLevelType w:val="multilevel"/>
    <w:tmpl w:val="A78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555B"/>
    <w:multiLevelType w:val="multilevel"/>
    <w:tmpl w:val="9D16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B0A17"/>
    <w:multiLevelType w:val="hybridMultilevel"/>
    <w:tmpl w:val="841A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2A28"/>
    <w:multiLevelType w:val="multilevel"/>
    <w:tmpl w:val="E2B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F28E8"/>
    <w:multiLevelType w:val="multilevel"/>
    <w:tmpl w:val="FFD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B5352"/>
    <w:multiLevelType w:val="multilevel"/>
    <w:tmpl w:val="698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58882">
    <w:abstractNumId w:val="3"/>
  </w:num>
  <w:num w:numId="2" w16cid:durableId="2081520064">
    <w:abstractNumId w:val="1"/>
  </w:num>
  <w:num w:numId="3" w16cid:durableId="343169811">
    <w:abstractNumId w:val="5"/>
  </w:num>
  <w:num w:numId="4" w16cid:durableId="1149787943">
    <w:abstractNumId w:val="4"/>
  </w:num>
  <w:num w:numId="5" w16cid:durableId="561526009">
    <w:abstractNumId w:val="0"/>
  </w:num>
  <w:num w:numId="6" w16cid:durableId="202336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D"/>
    <w:rsid w:val="00353A15"/>
    <w:rsid w:val="003D4E50"/>
    <w:rsid w:val="006F5FA8"/>
    <w:rsid w:val="00787790"/>
    <w:rsid w:val="0085695A"/>
    <w:rsid w:val="00A84256"/>
    <w:rsid w:val="00AB19ED"/>
    <w:rsid w:val="00E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E63C3"/>
  <w15:chartTrackingRefBased/>
  <w15:docId w15:val="{2C3F13EC-3600-7546-85E1-442DDBB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9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B19ED"/>
    <w:rPr>
      <w:b/>
      <w:bCs/>
    </w:rPr>
  </w:style>
  <w:style w:type="paragraph" w:customStyle="1" w:styleId="introtext">
    <w:name w:val="introtext"/>
    <w:basedOn w:val="Normal"/>
    <w:rsid w:val="00AB1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19ED"/>
  </w:style>
  <w:style w:type="character" w:styleId="Hyperlink">
    <w:name w:val="Hyperlink"/>
    <w:basedOn w:val="DefaultParagraphFont"/>
    <w:uiPriority w:val="99"/>
    <w:unhideWhenUsed/>
    <w:rsid w:val="00AB1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9E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3A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A1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E5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99"/>
    <w:rsid w:val="003D4E5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D4E50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D4E50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bioic.com/publications-database/national-plan-for-industrial-biotech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Bowen</dc:creator>
  <cp:keywords/>
  <dc:description/>
  <cp:lastModifiedBy>Andrew Bowen</cp:lastModifiedBy>
  <cp:revision>4</cp:revision>
  <dcterms:created xsi:type="dcterms:W3CDTF">2022-10-03T15:02:00Z</dcterms:created>
  <dcterms:modified xsi:type="dcterms:W3CDTF">2022-10-07T08:20:00Z</dcterms:modified>
</cp:coreProperties>
</file>